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010ED5F6" w:rsidR="00A14C4F" w:rsidRPr="0001573F" w:rsidRDefault="0001573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01573F">
        <w:rPr>
          <w:rFonts w:eastAsia="DejaVu Sans"/>
          <w:color w:val="000000"/>
          <w:kern w:val="2"/>
          <w:lang w:eastAsia="en-US"/>
        </w:rPr>
        <w:t>04.12.2023</w:t>
      </w:r>
      <w:r w:rsidR="00A14C4F" w:rsidRPr="0001573F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 </w:t>
      </w:r>
      <w:r w:rsidRPr="0001573F">
        <w:rPr>
          <w:rFonts w:eastAsia="DejaVu Sans"/>
          <w:color w:val="000000"/>
          <w:kern w:val="2"/>
          <w:lang w:eastAsia="en-US"/>
        </w:rPr>
        <w:t xml:space="preserve">                          № 267</w:t>
      </w:r>
    </w:p>
    <w:p w14:paraId="31767304" w14:textId="77777777" w:rsidR="00A14C4F" w:rsidRPr="0001573F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01573F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01573F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13E12C4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2546C7">
        <w:rPr>
          <w:color w:val="000000"/>
        </w:rPr>
        <w:t>земельного контроля</w:t>
      </w:r>
      <w:r w:rsidRPr="00AA0DC9">
        <w:rPr>
          <w:color w:val="000000"/>
        </w:rPr>
        <w:t xml:space="preserve"> 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B172513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2024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66CA488E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2546C7">
        <w:rPr>
          <w:spacing w:val="2"/>
        </w:rPr>
        <w:t>земельного</w:t>
      </w:r>
      <w:r w:rsidR="001F527F" w:rsidRPr="00AA0DC9">
        <w:rPr>
          <w:spacing w:val="2"/>
        </w:rPr>
        <w:t xml:space="preserve">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361B8F">
        <w:t>4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77777777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8773CA">
          <w:rPr>
            <w:bCs/>
            <w:color w:val="0000FF"/>
            <w:u w:val="single"/>
          </w:rPr>
          <w:t>www.nkselpasino.ru</w:t>
        </w:r>
      </w:hyperlink>
      <w:r w:rsidRPr="008773CA">
        <w:rPr>
          <w:bCs/>
        </w:rPr>
        <w:t xml:space="preserve">. </w:t>
      </w:r>
    </w:p>
    <w:p w14:paraId="6C92008C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77777777" w:rsidR="00A14C4F" w:rsidRPr="008773CA" w:rsidRDefault="00A14C4F" w:rsidP="00A14C4F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0E2343CF" w14:textId="77777777" w:rsidR="0001573F" w:rsidRPr="00AA0DC9" w:rsidRDefault="0001573F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lastRenderedPageBreak/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030945E7" w14:textId="04A66A08" w:rsidR="00A14C4F" w:rsidRPr="00A14C4F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r w:rsidRPr="00A14C4F">
        <w:rPr>
          <w:lang w:bidi="ru-RU"/>
        </w:rPr>
        <w:t>от</w:t>
      </w:r>
      <w:r w:rsidR="0001573F">
        <w:rPr>
          <w:lang w:bidi="ru-RU"/>
        </w:rPr>
        <w:t xml:space="preserve"> 01.12.2023_№ 267</w:t>
      </w:r>
      <w:r w:rsidRPr="00A14C4F">
        <w:rPr>
          <w:lang w:bidi="ru-RU"/>
        </w:rPr>
        <w:t>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7231EAC" w14:textId="3EEDC8EE" w:rsidR="00AF6B1F" w:rsidRPr="00AF6B1F" w:rsidRDefault="00AF6B1F" w:rsidP="00AF6B1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x-none"/>
        </w:rPr>
      </w:pPr>
      <w:r w:rsidRPr="00AF6B1F">
        <w:rPr>
          <w:color w:val="000000" w:themeColor="text1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color w:val="000000" w:themeColor="text1"/>
          <w:lang w:eastAsia="x-none"/>
        </w:rPr>
        <w:t>Новокусковское сельское</w:t>
      </w:r>
      <w:r w:rsidRPr="00AF6B1F">
        <w:rPr>
          <w:color w:val="000000" w:themeColor="text1"/>
          <w:lang w:eastAsia="x-none"/>
        </w:rPr>
        <w:t xml:space="preserve"> поселение» на 2024 год</w:t>
      </w:r>
    </w:p>
    <w:p w14:paraId="195C9529" w14:textId="77777777" w:rsidR="00AF6B1F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0FD3164C" w14:textId="77777777" w:rsidR="00AF6B1F" w:rsidRPr="00AE691B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>
        <w:rPr>
          <w:rFonts w:ascii="Times New Roman CYR" w:hAnsi="Times New Roman CYR" w:cs="Times New Roman CYR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F6B1F" w:rsidRPr="006C4A33" w14:paraId="6E7C40B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114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543" w14:textId="0916353C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>
              <w:rPr>
                <w:color w:val="000000" w:themeColor="text1"/>
              </w:rPr>
              <w:t>Новокусковское</w:t>
            </w:r>
            <w:r w:rsidRPr="006C4A33">
              <w:rPr>
                <w:color w:val="000000" w:themeColor="text1"/>
              </w:rPr>
              <w:t xml:space="preserve"> сельское поселение» на 2024 год</w:t>
            </w:r>
          </w:p>
        </w:tc>
      </w:tr>
      <w:tr w:rsidR="00AF6B1F" w:rsidRPr="006C4A33" w14:paraId="56878F6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A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7E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9B22E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439C196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F6B1F" w:rsidRPr="006C4A33" w14:paraId="512CB2A4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86D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Разработчик</w:t>
            </w:r>
          </w:p>
          <w:p w14:paraId="6861A0F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27E8" w14:textId="2ECC9C05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AF6B1F" w:rsidRPr="006C4A33" w14:paraId="7165ADEF" w14:textId="77777777" w:rsidTr="00756F53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2BB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Цели</w:t>
            </w:r>
          </w:p>
          <w:p w14:paraId="1117420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46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B3974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C082C6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F6B1F" w:rsidRPr="006C4A33" w14:paraId="32A2322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9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Задачи</w:t>
            </w:r>
          </w:p>
          <w:p w14:paraId="64D11D9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23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1.Укрепление системы профилактики нарушений обязательных требований;</w:t>
            </w:r>
          </w:p>
          <w:p w14:paraId="4E25E7B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1F36F6A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1AA12DB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их возникновения;</w:t>
            </w:r>
          </w:p>
          <w:p w14:paraId="3463EFDE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78F5F36F" w14:textId="77777777" w:rsidR="00AF6B1F" w:rsidRDefault="00AF6B1F" w:rsidP="00756F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4. </w:t>
            </w:r>
            <w:r w:rsidRPr="006C4A33">
              <w:rPr>
                <w:bCs/>
                <w:color w:val="000000" w:themeColor="text1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14:paraId="0E88D6B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EBA1FAA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05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Сроки и этапы</w:t>
            </w:r>
          </w:p>
          <w:p w14:paraId="27BDA05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D4C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202</w:t>
            </w:r>
            <w:r w:rsidRPr="006C4A33">
              <w:rPr>
                <w:color w:val="000000" w:themeColor="text1"/>
                <w:lang w:val="en-US"/>
              </w:rPr>
              <w:t>4</w:t>
            </w:r>
            <w:r w:rsidRPr="006C4A33">
              <w:rPr>
                <w:color w:val="000000" w:themeColor="text1"/>
              </w:rPr>
              <w:t xml:space="preserve"> год</w:t>
            </w:r>
          </w:p>
          <w:p w14:paraId="6219B17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245F3AC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2C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Источники</w:t>
            </w:r>
          </w:p>
          <w:p w14:paraId="3D093B1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84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AF6B1F" w:rsidRPr="006C4A33" w14:paraId="13036A53" w14:textId="77777777" w:rsidTr="00756F53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AE3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Ожидаемые</w:t>
            </w:r>
          </w:p>
          <w:p w14:paraId="65A5CF5F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конечные</w:t>
            </w:r>
          </w:p>
          <w:p w14:paraId="25115A5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6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рисков причинения вреда охраняемым законом ценностям;</w:t>
            </w:r>
          </w:p>
          <w:p w14:paraId="78247BB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Увеличение доли законопослушных подконтрольных субъектов;</w:t>
            </w:r>
          </w:p>
          <w:p w14:paraId="2AAB186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Развитие системы профилактических мероприятий;</w:t>
            </w:r>
          </w:p>
          <w:p w14:paraId="00D360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Внедрение различных способов профилактики;</w:t>
            </w:r>
          </w:p>
          <w:p w14:paraId="481728F5" w14:textId="637989AF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Повышение прозрачности деятельности Администрации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  <w:r w:rsidRPr="006C4A33">
              <w:rPr>
                <w:color w:val="000000" w:themeColor="text1"/>
              </w:rPr>
              <w:t>в сфере муниципального контроля;</w:t>
            </w:r>
          </w:p>
          <w:p w14:paraId="3B8B1EF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14:paraId="6330A90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CD03DB7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3BDC71B8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F6B1F" w:rsidRPr="006C4A33" w14:paraId="32B398E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AC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Структура</w:t>
            </w:r>
          </w:p>
          <w:p w14:paraId="3A937E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A7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Подпрограммы отсутствуют</w:t>
            </w:r>
          </w:p>
        </w:tc>
      </w:tr>
    </w:tbl>
    <w:p w14:paraId="2EFE8C33" w14:textId="77777777" w:rsidR="00AF6B1F" w:rsidRPr="006C4A33" w:rsidRDefault="00AF6B1F" w:rsidP="00AF6B1F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lang w:eastAsia="en-US"/>
        </w:rPr>
      </w:pPr>
    </w:p>
    <w:p w14:paraId="76553AAB" w14:textId="33321DB9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eastAsia="Calibri"/>
          <w:b/>
          <w:bCs/>
          <w:color w:val="000000" w:themeColor="text1"/>
          <w:lang w:eastAsia="en-US"/>
        </w:rPr>
        <w:t xml:space="preserve">Новокусковское 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сельское поселение» на 2024 год</w:t>
      </w:r>
    </w:p>
    <w:p w14:paraId="3EB8B087" w14:textId="51D6EB37" w:rsidR="00AF6B1F" w:rsidRPr="006C4A33" w:rsidRDefault="00AF6B1F" w:rsidP="00AF6B1F">
      <w:pPr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поселения.</w:t>
      </w:r>
    </w:p>
    <w:p w14:paraId="4E58EF01" w14:textId="3FD0F7A0" w:rsidR="00AF6B1F" w:rsidRPr="006C4A33" w:rsidRDefault="00AF6B1F" w:rsidP="00AF6B1F">
      <w:pPr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0" w:name="Par94"/>
      <w:bookmarkEnd w:id="0"/>
      <w:proofErr w:type="gramStart"/>
      <w:r w:rsidRPr="006C4A33">
        <w:rPr>
          <w:rFonts w:eastAsia="Calibri"/>
          <w:bCs/>
          <w:color w:val="000000" w:themeColor="text1"/>
          <w:lang w:eastAsia="en-US"/>
        </w:rPr>
        <w:t xml:space="preserve">Программа профилактики </w:t>
      </w:r>
      <w:r w:rsidRPr="006C4A33">
        <w:rPr>
          <w:rFonts w:eastAsia="Calibri"/>
          <w:color w:val="000000" w:themeColor="text1"/>
          <w:lang w:eastAsia="en-US"/>
        </w:rPr>
        <w:t xml:space="preserve">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 на 2024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D5C989" w14:textId="77777777" w:rsidR="00AF6B1F" w:rsidRPr="006C4A33" w:rsidRDefault="00AF6B1F" w:rsidP="00AF6B1F">
      <w:pPr>
        <w:ind w:firstLine="567"/>
        <w:jc w:val="both"/>
        <w:outlineLvl w:val="0"/>
        <w:rPr>
          <w:rFonts w:eastAsia="Calibri"/>
          <w:b/>
          <w:bCs/>
          <w:color w:val="000000" w:themeColor="text1"/>
          <w:lang w:eastAsia="en-US"/>
        </w:rPr>
      </w:pPr>
    </w:p>
    <w:p w14:paraId="58A1743F" w14:textId="77777777" w:rsidR="00AF6B1F" w:rsidRPr="006C4A33" w:rsidRDefault="00AF6B1F" w:rsidP="00AF6B1F">
      <w:pPr>
        <w:jc w:val="center"/>
        <w:outlineLvl w:val="0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6C4A33">
        <w:rPr>
          <w:rFonts w:eastAsia="Calibri"/>
          <w:b/>
          <w:bCs/>
          <w:color w:val="000000" w:themeColor="text1"/>
          <w:lang w:eastAsia="en-US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14:paraId="44F568CE" w14:textId="334ECE36" w:rsidR="00AF6B1F" w:rsidRPr="006C4A33" w:rsidRDefault="00AF6B1F" w:rsidP="00AF6B1F">
      <w:pPr>
        <w:pStyle w:val="ad"/>
        <w:ind w:lef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Администрация </w:t>
      </w:r>
      <w:r>
        <w:rPr>
          <w:rFonts w:eastAsia="Calibri"/>
          <w:color w:val="000000" w:themeColor="text1"/>
          <w:sz w:val="24"/>
          <w:szCs w:val="24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14:paraId="15C2917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453218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43AF5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4DE1466" w14:textId="01BD8F8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 для принятия решения о проведении контрольных мероприятий.</w:t>
      </w:r>
      <w:proofErr w:type="gramEnd"/>
    </w:p>
    <w:p w14:paraId="16C1699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14:paraId="14FCAC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1) информирование;</w:t>
      </w:r>
    </w:p>
    <w:p w14:paraId="3C674BB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2) обобщение правоприменительной практики;</w:t>
      </w:r>
    </w:p>
    <w:p w14:paraId="61D16D5F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3) объявление предостережений;</w:t>
      </w:r>
    </w:p>
    <w:p w14:paraId="3A5DBBF0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4) консультирование;</w:t>
      </w:r>
    </w:p>
    <w:p w14:paraId="38FFCBA4" w14:textId="77777777" w:rsidR="00AF6B1F" w:rsidRPr="006C4A33" w:rsidRDefault="00AF6B1F" w:rsidP="00AF6B1F">
      <w:pPr>
        <w:ind w:firstLine="709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визит.</w:t>
      </w:r>
    </w:p>
    <w:p w14:paraId="48342A2B" w14:textId="25ACBF18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color w:val="000000" w:themeColor="text1"/>
        </w:rPr>
        <w:t>Новокусковского</w:t>
      </w:r>
      <w:r w:rsidRPr="006C4A33">
        <w:rPr>
          <w:color w:val="000000" w:themeColor="text1"/>
        </w:rPr>
        <w:t xml:space="preserve"> сельского поселения.</w:t>
      </w:r>
    </w:p>
    <w:p w14:paraId="14429A6D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3. Статистические показатели состояния подконтрольной среды.</w:t>
      </w:r>
    </w:p>
    <w:p w14:paraId="5A2B032A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В 2023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14:paraId="3F254B9B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В 2023 году внеплановые и плановые проверки не проводились.</w:t>
      </w:r>
    </w:p>
    <w:p w14:paraId="14D261FD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На 2024 год мероприятия по муниципальному контролю в сфере муниципального земельного контроля не запланированы.</w:t>
      </w:r>
    </w:p>
    <w:p w14:paraId="6605D0DE" w14:textId="16D6CE70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color w:val="000000" w:themeColor="text1"/>
        </w:rPr>
        <w:t>Новокусковского</w:t>
      </w:r>
      <w:r w:rsidRPr="006C4A33">
        <w:rPr>
          <w:color w:val="000000" w:themeColor="text1"/>
        </w:rPr>
        <w:t xml:space="preserve"> сельского поселения в 2023 году не поступали.</w:t>
      </w:r>
    </w:p>
    <w:p w14:paraId="082ACA11" w14:textId="77777777" w:rsidR="00AF6B1F" w:rsidRPr="006C4A33" w:rsidRDefault="00AF6B1F" w:rsidP="00AF6B1F">
      <w:pPr>
        <w:rPr>
          <w:rFonts w:eastAsia="Calibri"/>
          <w:color w:val="000000" w:themeColor="text1"/>
          <w:lang w:eastAsia="en-US"/>
        </w:rPr>
      </w:pPr>
    </w:p>
    <w:p w14:paraId="6C96937D" w14:textId="77777777" w:rsidR="00AF6B1F" w:rsidRPr="006C4A33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bookmarkStart w:id="1" w:name="Par175"/>
      <w:bookmarkEnd w:id="1"/>
      <w:r w:rsidRPr="006C4A33">
        <w:rPr>
          <w:rFonts w:eastAsia="Calibri"/>
          <w:b/>
          <w:color w:val="000000" w:themeColor="text1"/>
          <w:lang w:eastAsia="en-US"/>
        </w:rPr>
        <w:t xml:space="preserve">Раздел 2. Цели и задачи реализации программы </w:t>
      </w:r>
    </w:p>
    <w:p w14:paraId="67A50DC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Основными целями Программы </w:t>
      </w:r>
      <w:r w:rsidRPr="006C4A33">
        <w:rPr>
          <w:rFonts w:eastAsia="Calibri"/>
          <w:bCs/>
          <w:color w:val="000000" w:themeColor="text1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являются:</w:t>
      </w:r>
    </w:p>
    <w:p w14:paraId="420E96B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14:paraId="44B98569" w14:textId="77777777" w:rsidR="00AF6B1F" w:rsidRPr="006C4A33" w:rsidRDefault="00AF6B1F" w:rsidP="00AF6B1F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3FE231" w14:textId="77777777" w:rsidR="00AF6B1F" w:rsidRPr="006C4A33" w:rsidRDefault="00AF6B1F" w:rsidP="00AF6B1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D52B7F" w14:textId="77777777" w:rsidR="00AF6B1F" w:rsidRPr="006C4A33" w:rsidRDefault="00AF6B1F" w:rsidP="00AF6B1F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</w:p>
    <w:p w14:paraId="61F27BBB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2E81918C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1. Укрепление </w:t>
      </w:r>
      <w:proofErr w:type="gramStart"/>
      <w:r w:rsidRPr="006C4A33">
        <w:rPr>
          <w:rFonts w:eastAsia="Calibri"/>
          <w:color w:val="000000" w:themeColor="text1"/>
          <w:lang w:eastAsia="en-US"/>
        </w:rPr>
        <w:t>системы профилактики нарушений рисков причинения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вреда (ущерба) охраняемым законом ценностям;</w:t>
      </w:r>
    </w:p>
    <w:p w14:paraId="3BB96ED1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iCs/>
          <w:color w:val="000000" w:themeColor="text1"/>
          <w:lang w:eastAsia="en-US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3DD224A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5794CF8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8AA8FF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578235D9" w14:textId="77777777" w:rsidR="00AF6B1F" w:rsidRPr="006C4A33" w:rsidRDefault="00AF6B1F" w:rsidP="00AF6B1F">
      <w:pPr>
        <w:autoSpaceDE w:val="0"/>
        <w:autoSpaceDN w:val="0"/>
        <w:adjustRightInd w:val="0"/>
        <w:spacing w:before="220"/>
        <w:jc w:val="both"/>
        <w:rPr>
          <w:rFonts w:eastAsia="Calibri"/>
          <w:i/>
          <w:color w:val="000000" w:themeColor="text1"/>
          <w:lang w:eastAsia="en-US"/>
        </w:rPr>
      </w:pPr>
    </w:p>
    <w:p w14:paraId="39589F5F" w14:textId="77777777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17E6DBA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</w:rPr>
      </w:pPr>
      <w:r w:rsidRPr="006C4A33">
        <w:rPr>
          <w:rFonts w:eastAsia="Calibri"/>
          <w:color w:val="000000" w:themeColor="text1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14:paraId="0E863F5D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1) информирование;</w:t>
      </w:r>
    </w:p>
    <w:p w14:paraId="4F397926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2) обобщение правоприменительной практики;</w:t>
      </w:r>
    </w:p>
    <w:p w14:paraId="6AE980A4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3) объявление предостережений;</w:t>
      </w:r>
    </w:p>
    <w:p w14:paraId="1AF90B9E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4) консультирование;</w:t>
      </w:r>
    </w:p>
    <w:p w14:paraId="5F3F5F93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</w:t>
      </w:r>
    </w:p>
    <w:p w14:paraId="1D426691" w14:textId="77777777" w:rsidR="00AF6B1F" w:rsidRPr="006C4A33" w:rsidRDefault="00AF6B1F" w:rsidP="00AF6B1F">
      <w:pPr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      </w:t>
      </w:r>
    </w:p>
    <w:p w14:paraId="17658C30" w14:textId="77777777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План</w:t>
      </w:r>
    </w:p>
    <w:p w14:paraId="2DBFDA2A" w14:textId="77777777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профилактических мероприятий на 2024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AF6B1F" w:rsidRPr="006C4A33" w14:paraId="613A58FA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7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BC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48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72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AF6B1F" w:rsidRPr="006C4A33" w14:paraId="44E46C17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5D0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9E5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iCs/>
                <w:color w:val="000000" w:themeColor="text1"/>
                <w:lang w:eastAsia="en-US"/>
              </w:rPr>
              <w:t>Информирование</w:t>
            </w:r>
          </w:p>
          <w:p w14:paraId="7EADE0D2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60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4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1D24753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AA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F3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Обобщение правоприменительной практики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A3C87E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FE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val="en-US" w:eastAsia="en-US"/>
              </w:rPr>
              <w:t>IV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7B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6D4FAF4E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92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46D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Предостережение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27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56ECBCE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A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72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Консультирование.</w:t>
            </w:r>
          </w:p>
          <w:p w14:paraId="192437E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Консультирование осуществляется в 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DA4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812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специалист 1 категории по землеустройству 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градостроительству</w:t>
            </w:r>
          </w:p>
        </w:tc>
      </w:tr>
      <w:tr w:rsidR="00AF6B1F" w:rsidRPr="006C4A33" w14:paraId="2373B9E2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02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F19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409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11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6F2BC9A4" w14:textId="77777777" w:rsidR="00AF6B1F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</w:p>
    <w:p w14:paraId="29AEDB1C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4. Показатели результативности и эффективности программы профилактики</w:t>
      </w:r>
    </w:p>
    <w:p w14:paraId="34188A01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9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599"/>
        <w:gridCol w:w="2700"/>
      </w:tblGrid>
      <w:tr w:rsidR="00AF6B1F" w:rsidRPr="006C4A33" w14:paraId="580A1862" w14:textId="77777777" w:rsidTr="00AF6B1F">
        <w:trPr>
          <w:trHeight w:val="5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11F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color w:val="000000" w:themeColor="text1"/>
                <w:lang w:eastAsia="en-US"/>
              </w:rPr>
              <w:t>/п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40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CA2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Величина</w:t>
            </w:r>
          </w:p>
        </w:tc>
      </w:tr>
      <w:tr w:rsidR="00AF6B1F" w:rsidRPr="006C4A33" w14:paraId="1AFA0535" w14:textId="77777777" w:rsidTr="00AF6B1F">
        <w:trPr>
          <w:trHeight w:val="14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70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87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C1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</w:t>
            </w:r>
          </w:p>
        </w:tc>
      </w:tr>
      <w:tr w:rsidR="00AF6B1F" w:rsidRPr="006C4A33" w14:paraId="1057F489" w14:textId="77777777" w:rsidTr="00AF6B1F">
        <w:trPr>
          <w:trHeight w:val="88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D3A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BA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8C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100 % от числа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обратившихся</w:t>
            </w:r>
            <w:proofErr w:type="gramEnd"/>
          </w:p>
        </w:tc>
      </w:tr>
    </w:tbl>
    <w:p w14:paraId="194CE159" w14:textId="77777777" w:rsidR="00AF6B1F" w:rsidRPr="006C4A33" w:rsidRDefault="00AF6B1F" w:rsidP="00AF6B1F">
      <w:pPr>
        <w:jc w:val="both"/>
        <w:outlineLvl w:val="0"/>
        <w:rPr>
          <w:color w:val="000000" w:themeColor="text1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9AEF645" w14:textId="77777777" w:rsidR="005551E3" w:rsidRDefault="005551E3" w:rsidP="00AA1617">
      <w:pPr>
        <w:suppressAutoHyphens/>
        <w:autoSpaceDN w:val="0"/>
        <w:textAlignment w:val="baseline"/>
      </w:pPr>
    </w:p>
    <w:p w14:paraId="382A8551" w14:textId="77777777" w:rsidR="005551E3" w:rsidRDefault="005551E3" w:rsidP="00AA1617">
      <w:pPr>
        <w:suppressAutoHyphens/>
        <w:autoSpaceDN w:val="0"/>
        <w:textAlignment w:val="baseline"/>
      </w:pPr>
    </w:p>
    <w:p w14:paraId="7DE3952E" w14:textId="77777777" w:rsidR="00AF6B1F" w:rsidRDefault="00AF6B1F" w:rsidP="00AA1617">
      <w:pPr>
        <w:suppressAutoHyphens/>
        <w:autoSpaceDN w:val="0"/>
        <w:textAlignment w:val="baseline"/>
      </w:pPr>
    </w:p>
    <w:p w14:paraId="1EDF089D" w14:textId="77777777" w:rsidR="00AF6B1F" w:rsidRDefault="00AF6B1F" w:rsidP="00AA1617">
      <w:pPr>
        <w:suppressAutoHyphens/>
        <w:autoSpaceDN w:val="0"/>
        <w:textAlignment w:val="baseline"/>
      </w:pPr>
    </w:p>
    <w:p w14:paraId="6D5A2F19" w14:textId="77777777" w:rsidR="00AF6B1F" w:rsidRDefault="00AF6B1F" w:rsidP="00AA1617">
      <w:pPr>
        <w:suppressAutoHyphens/>
        <w:autoSpaceDN w:val="0"/>
        <w:textAlignment w:val="baseline"/>
      </w:pPr>
    </w:p>
    <w:p w14:paraId="37CDB789" w14:textId="77777777" w:rsidR="00AF6B1F" w:rsidRDefault="00AF6B1F" w:rsidP="00AA1617">
      <w:pPr>
        <w:suppressAutoHyphens/>
        <w:autoSpaceDN w:val="0"/>
        <w:textAlignment w:val="baseline"/>
      </w:pPr>
    </w:p>
    <w:p w14:paraId="6A06DA82" w14:textId="77777777" w:rsidR="00AF6B1F" w:rsidRDefault="00AF6B1F" w:rsidP="00AA1617">
      <w:pPr>
        <w:suppressAutoHyphens/>
        <w:autoSpaceDN w:val="0"/>
        <w:textAlignment w:val="baseline"/>
      </w:pPr>
    </w:p>
    <w:p w14:paraId="23F9A1F8" w14:textId="77777777" w:rsidR="00AF6B1F" w:rsidRDefault="00AF6B1F" w:rsidP="00AA1617">
      <w:pPr>
        <w:suppressAutoHyphens/>
        <w:autoSpaceDN w:val="0"/>
        <w:textAlignment w:val="baseline"/>
      </w:pPr>
    </w:p>
    <w:p w14:paraId="3AC75A6C" w14:textId="77777777" w:rsidR="00AF6B1F" w:rsidRDefault="00AF6B1F" w:rsidP="00AA1617">
      <w:pPr>
        <w:suppressAutoHyphens/>
        <w:autoSpaceDN w:val="0"/>
        <w:textAlignment w:val="baseline"/>
      </w:pPr>
    </w:p>
    <w:p w14:paraId="0CE4A4F9" w14:textId="77777777" w:rsidR="00AF6B1F" w:rsidRDefault="00AF6B1F" w:rsidP="00AA1617">
      <w:pPr>
        <w:suppressAutoHyphens/>
        <w:autoSpaceDN w:val="0"/>
        <w:textAlignment w:val="baseline"/>
      </w:pPr>
    </w:p>
    <w:p w14:paraId="3A999FBA" w14:textId="77777777" w:rsidR="00AF6B1F" w:rsidRDefault="00AF6B1F" w:rsidP="00AA1617">
      <w:pPr>
        <w:suppressAutoHyphens/>
        <w:autoSpaceDN w:val="0"/>
        <w:textAlignment w:val="baseline"/>
      </w:pPr>
    </w:p>
    <w:p w14:paraId="3291700C" w14:textId="77777777" w:rsidR="00AF6B1F" w:rsidRDefault="00AF6B1F" w:rsidP="00AA1617">
      <w:pPr>
        <w:suppressAutoHyphens/>
        <w:autoSpaceDN w:val="0"/>
        <w:textAlignment w:val="baseline"/>
      </w:pPr>
    </w:p>
    <w:p w14:paraId="10844F29" w14:textId="77777777" w:rsidR="00AF6B1F" w:rsidRDefault="00AF6B1F" w:rsidP="00AA1617">
      <w:pPr>
        <w:suppressAutoHyphens/>
        <w:autoSpaceDN w:val="0"/>
        <w:textAlignment w:val="baseline"/>
      </w:pPr>
    </w:p>
    <w:p w14:paraId="3EDD805B" w14:textId="77777777" w:rsidR="00AF6B1F" w:rsidRDefault="00AF6B1F" w:rsidP="00AA1617">
      <w:pPr>
        <w:suppressAutoHyphens/>
        <w:autoSpaceDN w:val="0"/>
        <w:textAlignment w:val="baseline"/>
      </w:pPr>
    </w:p>
    <w:p w14:paraId="52920032" w14:textId="77777777" w:rsidR="00AF6B1F" w:rsidRDefault="00AF6B1F" w:rsidP="00AA1617">
      <w:pPr>
        <w:suppressAutoHyphens/>
        <w:autoSpaceDN w:val="0"/>
        <w:textAlignment w:val="baseline"/>
      </w:pPr>
    </w:p>
    <w:p w14:paraId="461E4F89" w14:textId="77777777" w:rsidR="00AF6B1F" w:rsidRDefault="00AF6B1F" w:rsidP="00AA1617">
      <w:pPr>
        <w:suppressAutoHyphens/>
        <w:autoSpaceDN w:val="0"/>
        <w:textAlignment w:val="baseline"/>
      </w:pPr>
    </w:p>
    <w:p w14:paraId="13DE1EA7" w14:textId="77777777" w:rsidR="00AF6B1F" w:rsidRDefault="00AF6B1F" w:rsidP="00AA1617">
      <w:pPr>
        <w:suppressAutoHyphens/>
        <w:autoSpaceDN w:val="0"/>
        <w:textAlignment w:val="baseline"/>
      </w:pPr>
    </w:p>
    <w:p w14:paraId="4B4AA504" w14:textId="77777777" w:rsidR="00AF6B1F" w:rsidRDefault="00AF6B1F" w:rsidP="00AA1617">
      <w:pPr>
        <w:suppressAutoHyphens/>
        <w:autoSpaceDN w:val="0"/>
        <w:textAlignment w:val="baseline"/>
      </w:pPr>
    </w:p>
    <w:p w14:paraId="09A954B6" w14:textId="77777777" w:rsidR="00AF6B1F" w:rsidRDefault="00AF6B1F" w:rsidP="00AA1617">
      <w:pPr>
        <w:suppressAutoHyphens/>
        <w:autoSpaceDN w:val="0"/>
        <w:textAlignment w:val="baseline"/>
      </w:pPr>
    </w:p>
    <w:p w14:paraId="17B885E7" w14:textId="77777777" w:rsidR="00AF6B1F" w:rsidRDefault="00AF6B1F" w:rsidP="00AA1617">
      <w:pPr>
        <w:suppressAutoHyphens/>
        <w:autoSpaceDN w:val="0"/>
        <w:textAlignment w:val="baseline"/>
      </w:pPr>
    </w:p>
    <w:p w14:paraId="5A1808FE" w14:textId="77777777" w:rsidR="005551E3" w:rsidRPr="00416B66" w:rsidRDefault="005551E3" w:rsidP="00AA1617">
      <w:pPr>
        <w:suppressAutoHyphens/>
        <w:autoSpaceDN w:val="0"/>
        <w:textAlignment w:val="baseline"/>
      </w:pPr>
      <w:bookmarkStart w:id="2" w:name="_GoBack"/>
      <w:bookmarkEnd w:id="2"/>
    </w:p>
    <w:sectPr w:rsidR="005551E3" w:rsidRPr="00416B66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8370D" w14:textId="77777777" w:rsidR="00D41E30" w:rsidRDefault="00D41E30">
      <w:r>
        <w:separator/>
      </w:r>
    </w:p>
  </w:endnote>
  <w:endnote w:type="continuationSeparator" w:id="0">
    <w:p w14:paraId="552DFEC0" w14:textId="77777777" w:rsidR="00D41E30" w:rsidRDefault="00D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0FEC" w14:textId="77777777" w:rsidR="00D41E30" w:rsidRDefault="00D41E30">
      <w:r>
        <w:separator/>
      </w:r>
    </w:p>
  </w:footnote>
  <w:footnote w:type="continuationSeparator" w:id="0">
    <w:p w14:paraId="2FBA7BFB" w14:textId="77777777" w:rsidR="00D41E30" w:rsidRDefault="00D4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73F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D41E30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573F"/>
    <w:rsid w:val="00030970"/>
    <w:rsid w:val="000404F8"/>
    <w:rsid w:val="00087BDF"/>
    <w:rsid w:val="000A7FB7"/>
    <w:rsid w:val="000B7A8D"/>
    <w:rsid w:val="000C0E39"/>
    <w:rsid w:val="000E7D48"/>
    <w:rsid w:val="000F064E"/>
    <w:rsid w:val="00105DBB"/>
    <w:rsid w:val="00111177"/>
    <w:rsid w:val="0013461F"/>
    <w:rsid w:val="001622E5"/>
    <w:rsid w:val="001723D6"/>
    <w:rsid w:val="001A3405"/>
    <w:rsid w:val="001B39D2"/>
    <w:rsid w:val="001B4EF6"/>
    <w:rsid w:val="001F527F"/>
    <w:rsid w:val="0021657A"/>
    <w:rsid w:val="002546C7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16B66"/>
    <w:rsid w:val="0042046A"/>
    <w:rsid w:val="00460CEF"/>
    <w:rsid w:val="00481162"/>
    <w:rsid w:val="00494D92"/>
    <w:rsid w:val="004B2B4C"/>
    <w:rsid w:val="004B6A92"/>
    <w:rsid w:val="004C02B8"/>
    <w:rsid w:val="004E0B32"/>
    <w:rsid w:val="004E4632"/>
    <w:rsid w:val="004F386B"/>
    <w:rsid w:val="005202FA"/>
    <w:rsid w:val="00543FE0"/>
    <w:rsid w:val="005551E3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6F5B43"/>
    <w:rsid w:val="00732C68"/>
    <w:rsid w:val="007A4656"/>
    <w:rsid w:val="007B4422"/>
    <w:rsid w:val="007D13D1"/>
    <w:rsid w:val="007D77EB"/>
    <w:rsid w:val="007E7A63"/>
    <w:rsid w:val="007F321B"/>
    <w:rsid w:val="00817DB5"/>
    <w:rsid w:val="00821762"/>
    <w:rsid w:val="00821F59"/>
    <w:rsid w:val="008265B3"/>
    <w:rsid w:val="00863256"/>
    <w:rsid w:val="00865E52"/>
    <w:rsid w:val="008937FB"/>
    <w:rsid w:val="008B669F"/>
    <w:rsid w:val="008D6DA1"/>
    <w:rsid w:val="00914C91"/>
    <w:rsid w:val="0092698F"/>
    <w:rsid w:val="00932AC3"/>
    <w:rsid w:val="0094605F"/>
    <w:rsid w:val="00966088"/>
    <w:rsid w:val="0099528E"/>
    <w:rsid w:val="009A6611"/>
    <w:rsid w:val="009D358B"/>
    <w:rsid w:val="009E6540"/>
    <w:rsid w:val="00A1305A"/>
    <w:rsid w:val="00A14C4F"/>
    <w:rsid w:val="00A1514B"/>
    <w:rsid w:val="00A2752D"/>
    <w:rsid w:val="00A634E8"/>
    <w:rsid w:val="00A87A40"/>
    <w:rsid w:val="00A92904"/>
    <w:rsid w:val="00A96EFD"/>
    <w:rsid w:val="00AA0DC9"/>
    <w:rsid w:val="00AA1617"/>
    <w:rsid w:val="00AA79BF"/>
    <w:rsid w:val="00AD2961"/>
    <w:rsid w:val="00AD3E63"/>
    <w:rsid w:val="00AF6B1F"/>
    <w:rsid w:val="00B26AA7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41E30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51A9-5529-4289-9E72-4C3CA15C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2021-11-26T05:37:00Z</cp:lastPrinted>
  <dcterms:created xsi:type="dcterms:W3CDTF">2023-12-15T06:24:00Z</dcterms:created>
  <dcterms:modified xsi:type="dcterms:W3CDTF">2023-12-21T04:57:00Z</dcterms:modified>
</cp:coreProperties>
</file>